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AQUISIÇÕES – LICITAÇÃO</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column">
              <wp:posOffset>2712085</wp:posOffset>
            </wp:positionH>
            <wp:positionV relativeFrom="paragraph">
              <wp:posOffset>-172085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Legenda1"/>
        <w:spacing w:lineRule="auto" w:line="240" w:before="0" w:after="0"/>
        <w:jc w:val="center"/>
        <w:rPr>
          <w:rFonts w:ascii="Arial" w:hAnsi="Arial"/>
          <w:color w:val="C9211E"/>
          <w:sz w:val="20"/>
          <w:szCs w:val="20"/>
        </w:rPr>
      </w:pPr>
      <w:r>
        <w:rPr>
          <w:rFonts w:cs="Times New Roman" w:ascii="Arial" w:hAnsi="Arial"/>
          <w:b/>
          <w:i w:val="false"/>
          <w:iCs w:val="false"/>
          <w:color w:val="C9211E"/>
          <w:sz w:val="20"/>
          <w:szCs w:val="20"/>
        </w:rPr>
        <w:t>MINISTÉRIO DA DEFESA</w:t>
      </w:r>
    </w:p>
    <w:p>
      <w:pPr>
        <w:pStyle w:val="Normal"/>
        <w:spacing w:lineRule="auto" w:line="240" w:before="0" w:after="0"/>
        <w:jc w:val="center"/>
        <w:rPr>
          <w:rFonts w:ascii="Arial" w:hAnsi="Arial"/>
          <w:color w:val="C9211E"/>
          <w:sz w:val="20"/>
          <w:szCs w:val="20"/>
        </w:rPr>
      </w:pPr>
      <w:r>
        <w:rPr>
          <w:rFonts w:cs="Times New Roman" w:ascii="Arial" w:hAnsi="Arial"/>
          <w:b/>
          <w:color w:val="C9211E"/>
          <w:sz w:val="20"/>
          <w:szCs w:val="20"/>
        </w:rPr>
        <w:t>EXÉRCITO BRASILEIRO</w:t>
      </w:r>
    </w:p>
    <w:p>
      <w:pPr>
        <w:pStyle w:val="Normal"/>
        <w:spacing w:lineRule="auto" w:line="240" w:before="0" w:after="0"/>
        <w:jc w:val="center"/>
        <w:rPr>
          <w:i w:val="false"/>
          <w:i w:val="false"/>
          <w:iCs w:val="false"/>
        </w:rPr>
      </w:pPr>
      <w:r>
        <w:rPr>
          <w:rFonts w:cs="Times New Roman" w:ascii="Arial" w:hAnsi="Arial"/>
          <w:b/>
          <w:color w:val="C9211E"/>
          <w:sz w:val="20"/>
          <w:szCs w:val="20"/>
        </w:rPr>
        <w:t>COMANDO DE OPERAÇÕES ESPECIAIS</w:t>
      </w:r>
    </w:p>
    <w:p>
      <w:pPr>
        <w:pStyle w:val="Normal"/>
        <w:widowControl/>
        <w:suppressAutoHyphens w:val="true"/>
        <w:bidi w:val="0"/>
        <w:spacing w:lineRule="auto" w:line="240" w:before="0" w:after="0"/>
        <w:ind w:left="0" w:right="0" w:hanging="0"/>
        <w:jc w:val="center"/>
        <w:rPr>
          <w:rFonts w:ascii="Arial" w:hAnsi="Arial"/>
          <w:i w:val="false"/>
          <w:i w:val="false"/>
          <w:iCs w:val="false"/>
          <w:color w:val="C9211E"/>
          <w:sz w:val="20"/>
          <w:szCs w:val="20"/>
        </w:rPr>
      </w:pPr>
      <w:r>
        <w:rPr>
          <w:rFonts w:eastAsia="Times New Roman" w:cs="Times New Roman" w:ascii="Arial" w:hAnsi="Arial"/>
          <w:b/>
          <w:bCs/>
          <w:i w:val="false"/>
          <w:iCs w:val="false"/>
          <w:color w:val="C9211E"/>
          <w:sz w:val="20"/>
          <w:szCs w:val="20"/>
        </w:rPr>
        <w:t>BASE ADMINISTRATIVA DO COMANDO DE OPERAÇÕES ESPECIAIS</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
          <w:bCs/>
          <w:color w:val="0845FA"/>
          <w:sz w:val="20"/>
          <w:szCs w:val="20"/>
          <w:u w:val="single"/>
        </w:rPr>
        <w:t>65399.004267/2024-71</w:t>
      </w:r>
      <w:r>
        <w:rPr>
          <w:rFonts w:cs="Arial" w:ascii="Arial" w:hAnsi="Arial"/>
          <w:bCs/>
          <w:color w:val="000000"/>
          <w:sz w:val="20"/>
          <w:szCs w:val="20"/>
        </w:rPr>
        <w:t>)</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w:t>
      </w:r>
      <w:r>
        <w:rPr>
          <w:rFonts w:eastAsia="Times New Roman" w:cs="Times New Roman"/>
          <w:b/>
          <w:bCs/>
          <w:i w:val="false"/>
          <w:iCs w:val="false"/>
          <w:color w:val="0845FA"/>
          <w:sz w:val="20"/>
          <w:szCs w:val="20"/>
        </w:rPr>
        <w:t>BASE ADMINISTRATIVA DO COMANDO DE OPERAÇÕES ESPECIAIS</w:t>
      </w:r>
      <w:r>
        <w:rPr>
          <w:bCs w:val="false"/>
        </w:rPr>
        <w:t xml:space="preserve">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FF0000"/>
          <w:sz w:val="20"/>
          <w:szCs w:val="20"/>
        </w:rPr>
        <w:t xml:space="preserve">A União, </w:t>
      </w:r>
      <w:r>
        <w:rPr>
          <w:rFonts w:eastAsia="Arial" w:cs="Arial" w:ascii="Arial" w:hAnsi="Arial"/>
          <w:color w:val="FF0000"/>
          <w:sz w:val="20"/>
          <w:szCs w:val="20"/>
        </w:rPr>
        <w:t xml:space="preserve">por intermédio do(a) </w:t>
      </w:r>
      <w:r>
        <w:rPr>
          <w:rFonts w:eastAsia="Arial" w:cs="Arial" w:ascii="Arial" w:hAnsi="Arial"/>
          <w:b/>
          <w:bCs/>
          <w:i/>
          <w:iCs/>
          <w:color w:val="0845FA"/>
          <w:sz w:val="20"/>
          <w:szCs w:val="20"/>
          <w:u w:val="single"/>
        </w:rPr>
        <w:t>Base Administrativa do Comando de Operações Especiais</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b/>
          <w:bCs/>
          <w:color w:val="0845FA"/>
          <w:sz w:val="20"/>
          <w:szCs w:val="20"/>
          <w:u w:val="single"/>
        </w:rPr>
        <w:t>Avenida Salvador, s/n, Jardim Guanabara,</w:t>
      </w:r>
      <w:r>
        <w:rPr>
          <w:rFonts w:eastAsia="Arial" w:cs="Arial" w:ascii="Arial" w:hAnsi="Arial"/>
          <w:sz w:val="20"/>
          <w:szCs w:val="20"/>
        </w:rPr>
        <w:t xml:space="preserve">, na cidade de </w:t>
      </w:r>
      <w:r>
        <w:rPr>
          <w:rFonts w:eastAsia="Arial" w:cs="Arial" w:ascii="Arial" w:hAnsi="Arial"/>
          <w:b/>
          <w:bCs/>
          <w:color w:val="0845FA"/>
          <w:sz w:val="20"/>
          <w:szCs w:val="20"/>
          <w:u w:val="single"/>
        </w:rPr>
        <w:t>Goiânia</w:t>
      </w:r>
      <w:r>
        <w:rPr>
          <w:rFonts w:eastAsia="Arial" w:cs="Arial" w:ascii="Arial" w:hAnsi="Arial"/>
          <w:sz w:val="20"/>
          <w:szCs w:val="20"/>
        </w:rPr>
        <w:t xml:space="preserve">/Estado </w:t>
      </w:r>
      <w:r>
        <w:rPr>
          <w:rFonts w:eastAsia="Arial" w:cs="Arial" w:ascii="Arial" w:hAnsi="Arial"/>
          <w:b/>
          <w:bCs/>
          <w:color w:val="0845FA"/>
          <w:sz w:val="20"/>
          <w:szCs w:val="20"/>
          <w:u w:val="single"/>
        </w:rPr>
        <w:t>Goiás</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b/>
          <w:bCs/>
          <w:color w:val="0845FA"/>
          <w:sz w:val="20"/>
          <w:szCs w:val="20"/>
          <w:u w:val="single"/>
        </w:rPr>
        <w:t>65399.004267/2024-71</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FF0000"/>
          <w:sz w:val="20"/>
          <w:szCs w:val="20"/>
        </w:rPr>
        <w:t xml:space="preserve">do </w:t>
      </w:r>
      <w:r>
        <w:rPr>
          <w:rFonts w:eastAsia="Arial" w:cs="Arial" w:ascii="Arial" w:hAnsi="Arial"/>
          <w:b/>
          <w:bCs/>
          <w:i/>
          <w:iCs/>
          <w:color w:val="0845FA"/>
          <w:kern w:val="0"/>
          <w:sz w:val="20"/>
          <w:szCs w:val="20"/>
          <w:u w:val="single"/>
          <w:lang w:val="pt-BR" w:eastAsia="pt-BR" w:bidi="ar-SA"/>
        </w:rPr>
        <w:t xml:space="preserve">Pregão Eletrônico n. </w:t>
      </w:r>
      <w:r>
        <w:rPr>
          <w:rFonts w:eastAsia="Arial" w:cs="Arial" w:ascii="Arial" w:hAnsi="Arial"/>
          <w:b/>
          <w:bCs/>
          <w:i/>
          <w:iCs/>
          <w:color w:val="0845FA"/>
          <w:kern w:val="0"/>
          <w:sz w:val="20"/>
          <w:szCs w:val="20"/>
          <w:u w:val="single"/>
          <w:lang w:val="pt-BR" w:eastAsia="pt-BR" w:bidi="ar-SA"/>
        </w:rPr>
        <w:t>90014</w:t>
      </w:r>
      <w:r>
        <w:rPr>
          <w:rFonts w:eastAsia="Arial" w:cs="Arial" w:ascii="Arial" w:hAnsi="Arial"/>
          <w:b/>
          <w:bCs/>
          <w:i/>
          <w:iCs/>
          <w:color w:val="0845FA"/>
          <w:kern w:val="0"/>
          <w:sz w:val="20"/>
          <w:szCs w:val="20"/>
          <w:u w:val="single"/>
          <w:lang w:val="pt-BR" w:eastAsia="pt-BR" w:bidi="ar-SA"/>
        </w:rPr>
        <w:t>/2024</w:t>
      </w:r>
      <w:r>
        <w:rPr>
          <w:rFonts w:eastAsia="Arial" w:cs="Arial" w:ascii="Arial" w:hAnsi="Arial"/>
          <w:sz w:val="20"/>
          <w:szCs w:val="20"/>
        </w:rPr>
        <w:t>, mediante as cláusulas e condições a seguir enunciadas.</w:t>
      </w:r>
    </w:p>
    <w:p>
      <w:pPr>
        <w:pStyle w:val="Nivel01"/>
        <w:numPr>
          <w:ilvl w:val="0"/>
          <w:numId w:val="115"/>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16"/>
        </w:numPr>
        <w:ind w:left="0" w:hanging="0"/>
        <w:rPr/>
      </w:pPr>
      <w:r>
        <w:rPr/>
        <w:t xml:space="preserve">O objeto do presente instrumento é a </w:t>
      </w:r>
      <w:r>
        <w:rPr>
          <w:rFonts w:eastAsia="ＭＳ 明朝" w:cs="Arial"/>
          <w:b/>
          <w:bCs/>
          <w:color w:val="0845FA" w:themeTint="a6"/>
          <w:kern w:val="0"/>
          <w:sz w:val="20"/>
          <w:szCs w:val="20"/>
          <w:u w:val="single"/>
          <w:lang w:val="pt-BR" w:eastAsia="pt-BR" w:bidi="ar-SA"/>
        </w:rPr>
        <w:t>futura e eventual aquisição de MEDICAMENTOS E MATERIAIS MÉDICOS HOSPITALARES para atender as organizações militares do Comando de Operações Especiais, especificados no item</w:t>
      </w:r>
      <w:r>
        <w:rPr>
          <w:rFonts w:eastAsia="ＭＳ 明朝" w:cs="Arial"/>
          <w:b/>
          <w:bCs/>
          <w:strike w:val="false"/>
          <w:dstrike w:val="false"/>
          <w:color w:val="0845FA" w:themeTint="a6"/>
          <w:kern w:val="0"/>
          <w:sz w:val="20"/>
          <w:szCs w:val="20"/>
          <w:u w:val="single"/>
          <w:lang w:val="pt-BR" w:eastAsia="pt-BR" w:bidi="ar-SA"/>
        </w:rPr>
        <w:t xml:space="preserve"> 1.1 do</w:t>
      </w:r>
      <w:r>
        <w:rPr>
          <w:rFonts w:eastAsia="ＭＳ 明朝" w:cs="Arial"/>
          <w:b/>
          <w:bCs/>
          <w:color w:val="0845FA" w:themeTint="a6"/>
          <w:kern w:val="0"/>
          <w:sz w:val="20"/>
          <w:szCs w:val="20"/>
          <w:u w:val="single"/>
          <w:lang w:val="pt-BR" w:eastAsia="pt-BR" w:bidi="ar-SA"/>
        </w:rPr>
        <w:t xml:space="preserve"> Termo de Referência, anexo </w:t>
      </w:r>
      <w:r>
        <w:rPr>
          <w:rFonts w:eastAsia="ＭＳ 明朝" w:cs="Arial"/>
          <w:b/>
          <w:bCs/>
          <w:i/>
          <w:color w:val="0845FA" w:themeTint="a6"/>
          <w:kern w:val="0"/>
          <w:sz w:val="20"/>
          <w:szCs w:val="20"/>
          <w:u w:val="single"/>
          <w:lang w:val="pt-BR" w:eastAsia="pt-BR" w:bidi="ar-SA"/>
        </w:rPr>
        <w:t xml:space="preserve">do edital de Licitação nº </w:t>
      </w:r>
      <w:r>
        <w:rPr>
          <w:rFonts w:eastAsia="ＭＳ 明朝" w:cs="Arial"/>
          <w:b/>
          <w:bCs/>
          <w:i/>
          <w:color w:val="0845FA" w:themeTint="a6"/>
          <w:kern w:val="0"/>
          <w:sz w:val="20"/>
          <w:szCs w:val="20"/>
          <w:u w:val="single"/>
          <w:lang w:val="pt-BR" w:eastAsia="pt-BR" w:bidi="ar-SA"/>
        </w:rPr>
        <w:t>90014</w:t>
      </w:r>
      <w:r>
        <w:rPr>
          <w:rFonts w:eastAsia="ＭＳ 明朝" w:cs="Arial"/>
          <w:b/>
          <w:bCs/>
          <w:i/>
          <w:color w:val="0845FA" w:themeTint="a6"/>
          <w:kern w:val="0"/>
          <w:sz w:val="20"/>
          <w:szCs w:val="20"/>
          <w:u w:val="single"/>
          <w:lang w:val="pt-BR" w:eastAsia="pt-BR" w:bidi="ar-SA"/>
        </w:rPr>
        <w:t>/2024</w:t>
      </w:r>
      <w:r>
        <w:rPr/>
        <w:t>, nas condições estabelecidas no Termo de Referência.</w:t>
      </w:r>
    </w:p>
    <w:p>
      <w:pPr>
        <w:pStyle w:val="Nivel2"/>
        <w:numPr>
          <w:ilvl w:val="1"/>
          <w:numId w:val="117"/>
        </w:numPr>
        <w:ind w:left="0" w:hanging="0"/>
        <w:rPr/>
      </w:pPr>
      <w:r>
        <w:rPr/>
        <w:t>Objeto da contratação:</w:t>
      </w:r>
    </w:p>
    <w:tbl>
      <w:tblPr>
        <w:tblW w:w="9784" w:type="dxa"/>
        <w:jc w:val="left"/>
        <w:tblInd w:w="-147" w:type="dxa"/>
        <w:tblCellMar>
          <w:top w:w="0" w:type="dxa"/>
          <w:left w:w="108" w:type="dxa"/>
          <w:bottom w:w="0" w:type="dxa"/>
          <w:right w:w="108" w:type="dxa"/>
        </w:tblCellMar>
        <w:tblLook w:val="04a0" w:noHBand="0" w:noVBand="1" w:firstColumn="1" w:lastRow="0" w:lastColumn="0" w:firstRow="1"/>
      </w:tblPr>
      <w:tblGrid>
        <w:gridCol w:w="993"/>
        <w:gridCol w:w="2554"/>
        <w:gridCol w:w="1277"/>
        <w:gridCol w:w="1134"/>
        <w:gridCol w:w="1561"/>
        <w:gridCol w:w="1275"/>
        <w:gridCol w:w="989"/>
      </w:tblGrid>
      <w:tr>
        <w:trPr>
          <w:trHeight w:val="960" w:hRule="atLeast"/>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jc w:val="center"/>
              <w:rPr/>
            </w:pPr>
            <w:r>
              <w:rPr>
                <w:rFonts w:eastAsia="Arial" w:cs="Arial" w:ascii="Arial" w:hAnsi="Arial"/>
                <w:b/>
                <w:bCs/>
                <w:color w:val="000000" w:themeColor="text1"/>
                <w:sz w:val="20"/>
                <w:szCs w:val="20"/>
              </w:rPr>
              <w:t>ITEM</w:t>
            </w:r>
          </w:p>
          <w:p>
            <w:pPr>
              <w:pStyle w:val="Normal"/>
              <w:widowControl w:val="false"/>
              <w:spacing w:lineRule="auto" w:line="240" w:before="0" w:after="0"/>
              <w:ind w:left="0" w:right="0" w:hanging="0"/>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18"/>
        </w:numPr>
        <w:ind w:left="0" w:hanging="0"/>
        <w:rPr/>
      </w:pPr>
      <w:r>
        <w:rPr/>
        <w:t>Vinculam esta contratação, independentemente de transcrição:</w:t>
      </w:r>
    </w:p>
    <w:p>
      <w:pPr>
        <w:pStyle w:val="Nivel3"/>
        <w:numPr>
          <w:ilvl w:val="2"/>
          <w:numId w:val="119"/>
        </w:numPr>
        <w:ind w:left="284" w:hanging="0"/>
        <w:rPr/>
      </w:pPr>
      <w:r>
        <w:rPr/>
        <w:t>O Termo de Referência;</w:t>
      </w:r>
    </w:p>
    <w:p>
      <w:pPr>
        <w:pStyle w:val="Nivel3"/>
        <w:numPr>
          <w:ilvl w:val="2"/>
          <w:numId w:val="120"/>
        </w:numPr>
        <w:ind w:left="284" w:hanging="0"/>
        <w:rPr/>
      </w:pPr>
      <w:r>
        <w:rPr/>
        <w:t>O Edital da Licitação;</w:t>
      </w:r>
    </w:p>
    <w:p>
      <w:pPr>
        <w:pStyle w:val="Nivel3"/>
        <w:numPr>
          <w:ilvl w:val="2"/>
          <w:numId w:val="121"/>
        </w:numPr>
        <w:ind w:left="284" w:hanging="0"/>
        <w:rPr/>
      </w:pPr>
      <w:r>
        <w:rPr/>
        <w:t>A Proposta do contratado;</w:t>
      </w:r>
    </w:p>
    <w:p>
      <w:pPr>
        <w:pStyle w:val="Nivel3"/>
        <w:numPr>
          <w:ilvl w:val="2"/>
          <w:numId w:val="122"/>
        </w:numPr>
        <w:ind w:left="284" w:hanging="0"/>
        <w:rPr/>
      </w:pPr>
      <w:r>
        <w:rPr/>
        <w:t>Eventuais anexos dos documentos supracitados.</w:t>
      </w:r>
    </w:p>
    <w:p>
      <w:pPr>
        <w:pStyle w:val="Nivel01"/>
        <w:numPr>
          <w:ilvl w:val="0"/>
          <w:numId w:val="123"/>
        </w:numPr>
        <w:ind w:left="0" w:hanging="0"/>
        <w:rPr>
          <w:color w:val="FFFFFF" w:themeColor="background1"/>
        </w:rPr>
      </w:pPr>
      <w:r>
        <w:rPr/>
        <w:t>CLÁUSULA SEGUNDA – VIGÊNCIA E PRORROGAÇÃO</w:t>
      </w:r>
    </w:p>
    <w:p>
      <w:pPr>
        <w:pStyle w:val="Nvel2Red"/>
        <w:numPr>
          <w:ilvl w:val="1"/>
          <w:numId w:val="124"/>
        </w:numPr>
        <w:ind w:left="0" w:hanging="0"/>
        <w:rPr/>
      </w:pPr>
      <w:r>
        <w:rPr>
          <w:strike w:val="false"/>
          <w:dstrike w:val="false"/>
        </w:rPr>
        <w:t>O prazo de vigência da contratação é de</w:t>
      </w:r>
      <w:r>
        <w:rPr>
          <w:strike w:val="false"/>
          <w:dstrike w:val="false"/>
          <w:color w:val="C9211E"/>
        </w:rPr>
        <w:t xml:space="preserve"> </w:t>
      </w:r>
      <w:r>
        <w:rPr>
          <w:rFonts w:eastAsia="ＭＳ 明朝" w:cs="Arial"/>
          <w:b/>
          <w:bCs/>
          <w:i/>
          <w:iCs/>
          <w:strike w:val="false"/>
          <w:dstrike w:val="false"/>
          <w:color w:val="0845FA"/>
          <w:kern w:val="0"/>
          <w:sz w:val="20"/>
          <w:szCs w:val="20"/>
          <w:lang w:val="pt-BR" w:eastAsia="pt-BR" w:bidi="ar-SA"/>
        </w:rPr>
        <w:t>12 (doze) meses</w:t>
      </w:r>
      <w:r>
        <w:rPr>
          <w:strike w:val="false"/>
          <w:dstrike w:val="false"/>
        </w:rPr>
        <w:t xml:space="preserve"> contados do(a) </w:t>
      </w:r>
      <w:r>
        <w:rPr>
          <w:rFonts w:eastAsia="ＭＳ 明朝" w:cs="Arial"/>
          <w:b/>
          <w:bCs/>
          <w:i/>
          <w:iCs/>
          <w:strike w:val="false"/>
          <w:dstrike w:val="false"/>
          <w:color w:val="0845FA"/>
          <w:kern w:val="0"/>
          <w:sz w:val="20"/>
          <w:szCs w:val="20"/>
          <w:u w:val="single"/>
          <w:lang w:val="pt-BR" w:eastAsia="pt-BR" w:bidi="ar-SA"/>
        </w:rPr>
        <w:t>assinatura deste termo</w:t>
      </w:r>
      <w:r>
        <w:rPr>
          <w:strike w:val="false"/>
          <w:dstrike w:val="false"/>
        </w:rPr>
        <w:t>, na forma do artigo 105 da Lei n° 14.133, de 2021.</w:t>
      </w:r>
    </w:p>
    <w:p>
      <w:pPr>
        <w:pStyle w:val="Nvel2Red"/>
        <w:numPr>
          <w:ilvl w:val="1"/>
          <w:numId w:val="125"/>
        </w:numPr>
        <w:ind w:left="0" w:hanging="0"/>
        <w:rPr>
          <w:strike w:val="false"/>
          <w:dstrike w:val="false"/>
          <w:u w:val="none"/>
        </w:rPr>
      </w:pPr>
      <w:r>
        <w:rPr>
          <w:strike w:val="false"/>
          <w:dstrike w:val="false"/>
          <w:u w:val="none"/>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26"/>
        </w:numPr>
        <w:ind w:left="0" w:hanging="0"/>
        <w:rPr>
          <w:color w:val="FFFFFF" w:themeColor="background1"/>
        </w:rPr>
      </w:pPr>
      <w:bookmarkStart w:id="0" w:name="_Hlk114497502"/>
      <w:bookmarkStart w:id="1" w:name="_Hlk114497577"/>
      <w:bookmarkEnd w:id="0"/>
      <w:bookmarkEnd w:id="1"/>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27"/>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28"/>
        </w:numPr>
        <w:ind w:left="0" w:hanging="0"/>
        <w:rPr>
          <w:color w:val="FFFFFF" w:themeColor="background1"/>
        </w:rPr>
      </w:pPr>
      <w:r>
        <w:rPr/>
        <w:t>CLÁUSULA QUARTA – SUBCONTRATAÇÃO</w:t>
      </w:r>
    </w:p>
    <w:p>
      <w:pPr>
        <w:pStyle w:val="Nvel2Red"/>
        <w:numPr>
          <w:ilvl w:val="1"/>
          <w:numId w:val="129"/>
        </w:numPr>
        <w:ind w:left="0" w:hanging="0"/>
        <w:rPr/>
      </w:pPr>
      <w:r>
        <w:rPr/>
        <w:t>Não será admitida a subcontratação do objeto contratual.</w:t>
      </w:r>
    </w:p>
    <w:p>
      <w:pPr>
        <w:pStyle w:val="Nivel01"/>
        <w:numPr>
          <w:ilvl w:val="0"/>
          <w:numId w:val="130"/>
        </w:numPr>
        <w:ind w:left="0" w:hanging="0"/>
        <w:rPr>
          <w:color w:val="FFFFFF" w:themeColor="background1"/>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vel2Red"/>
        <w:numPr>
          <w:ilvl w:val="1"/>
          <w:numId w:val="131"/>
        </w:numPr>
        <w:ind w:left="0" w:hanging="0"/>
        <w:rPr/>
      </w:pPr>
      <w:r>
        <w:rPr/>
        <w:t>O valor total da contratação é de R$.......... (.....)</w:t>
      </w:r>
    </w:p>
    <w:p>
      <w:pPr>
        <w:pStyle w:val="Nivel2"/>
        <w:numPr>
          <w:ilvl w:val="1"/>
          <w:numId w:val="132"/>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3"/>
        </w:numPr>
        <w:ind w:left="0" w:hanging="0"/>
        <w:rPr/>
      </w:pPr>
      <w:r>
        <w:rPr/>
        <w:t>O valor acima é meramente estimativo, de forma que os pagamentos devidos ao contratado dependerão dos quantitativos efetivamente fornecidos.</w:t>
      </w:r>
    </w:p>
    <w:p>
      <w:pPr>
        <w:pStyle w:val="Nivel01"/>
        <w:numPr>
          <w:ilvl w:val="0"/>
          <w:numId w:val="134"/>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35"/>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36"/>
        </w:numPr>
        <w:ind w:left="0" w:hanging="0"/>
        <w:rPr>
          <w:color w:val="FFFFFF" w:themeColor="background1"/>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ivel2"/>
        <w:numPr>
          <w:ilvl w:val="1"/>
          <w:numId w:val="137"/>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38"/>
        </w:numPr>
        <w:ind w:left="0" w:hanging="0"/>
        <w:rPr/>
      </w:pPr>
      <w:r>
        <w:rPr/>
        <w:t xml:space="preserve">Após o interregno de um ano, e independentemente de pedido do contratado, os preços iniciais serão reajustados, mediante a aplicação, pelo contratante, do índice </w:t>
      </w:r>
      <w:r>
        <w:rPr>
          <w:rFonts w:eastAsia="ＭＳ 明朝" w:cs="Arial"/>
          <w:b/>
          <w:bCs/>
          <w:color w:val="0845FA"/>
          <w:kern w:val="0"/>
          <w:sz w:val="20"/>
          <w:szCs w:val="20"/>
          <w:u w:val="single"/>
          <w:lang w:val="pt-BR" w:eastAsia="pt-BR" w:bidi="ar-SA"/>
        </w:rPr>
        <w:t>IPCA/IBGE</w:t>
      </w:r>
      <w:r>
        <w:rPr>
          <w:i/>
          <w:iCs/>
        </w:rPr>
        <w:t>,</w:t>
      </w:r>
      <w:r>
        <w:rPr/>
        <w:t xml:space="preserve"> exclusivamente para as obrigações iniciadas e concluídas após a ocorrência da anualidade.</w:t>
      </w:r>
    </w:p>
    <w:p>
      <w:pPr>
        <w:pStyle w:val="Nivel2"/>
        <w:numPr>
          <w:ilvl w:val="1"/>
          <w:numId w:val="139"/>
        </w:numPr>
        <w:ind w:left="0" w:hanging="0"/>
        <w:rPr/>
      </w:pPr>
      <w:r>
        <w:rPr/>
        <w:t>Nos reajustes subsequentes ao primeiro, o interregno mínimo de um ano será contado a partir dos efeitos financeiros do último reajuste.</w:t>
      </w:r>
    </w:p>
    <w:p>
      <w:pPr>
        <w:pStyle w:val="Nivel2"/>
        <w:numPr>
          <w:ilvl w:val="1"/>
          <w:numId w:val="140"/>
        </w:numPr>
        <w:ind w:left="0" w:hanging="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1"/>
        </w:numPr>
        <w:ind w:left="0" w:hanging="0"/>
        <w:rPr/>
      </w:pPr>
      <w:r>
        <w:rPr/>
        <w:t>Nas aferições finais, o(s) índice(s) utilizado(s) para reajuste será(ão), obrigatoriamente, o(s) definitivo(s).</w:t>
      </w:r>
    </w:p>
    <w:p>
      <w:pPr>
        <w:pStyle w:val="Nivel2"/>
        <w:numPr>
          <w:ilvl w:val="1"/>
          <w:numId w:val="142"/>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3"/>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44"/>
        </w:numPr>
        <w:ind w:left="0" w:hanging="0"/>
        <w:rPr/>
      </w:pPr>
      <w:r>
        <w:rPr/>
        <w:t>O reajuste será realizado por apostilamento.</w:t>
      </w:r>
    </w:p>
    <w:p>
      <w:pPr>
        <w:pStyle w:val="Nivel01"/>
        <w:numPr>
          <w:ilvl w:val="0"/>
          <w:numId w:val="145"/>
        </w:numPr>
        <w:ind w:left="0" w:hanging="0"/>
        <w:rPr>
          <w:color w:val="FFFFFF" w:themeColor="background1"/>
        </w:rPr>
      </w:pPr>
      <w:r>
        <w:rPr/>
        <w:t xml:space="preserve">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46"/>
        </w:numPr>
        <w:ind w:left="0" w:hanging="0"/>
        <w:rPr/>
      </w:pPr>
      <w:r>
        <w:rPr/>
        <w:t>São obrigações do Contratante:</w:t>
      </w:r>
    </w:p>
    <w:p>
      <w:pPr>
        <w:pStyle w:val="Nivel2"/>
        <w:numPr>
          <w:ilvl w:val="1"/>
          <w:numId w:val="147"/>
        </w:numPr>
        <w:ind w:left="0" w:hanging="0"/>
        <w:rPr/>
      </w:pPr>
      <w:r>
        <w:rPr/>
        <w:t>Exigir o cumprimento de todas as obrigações assumidas pelo Contratado, de acordo com o contrato e seus anexos;</w:t>
      </w:r>
    </w:p>
    <w:p>
      <w:pPr>
        <w:pStyle w:val="Nivel2"/>
        <w:numPr>
          <w:ilvl w:val="1"/>
          <w:numId w:val="148"/>
        </w:numPr>
        <w:ind w:left="0" w:hanging="0"/>
        <w:rPr/>
      </w:pPr>
      <w:r>
        <w:rPr/>
        <w:t>Receber o objeto no prazo e condições estabelecidas no Termo de Referência;</w:t>
      </w:r>
    </w:p>
    <w:p>
      <w:pPr>
        <w:pStyle w:val="Nivel2"/>
        <w:numPr>
          <w:ilvl w:val="1"/>
          <w:numId w:val="149"/>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0"/>
        </w:numPr>
        <w:ind w:left="0" w:hanging="0"/>
        <w:rPr/>
      </w:pPr>
      <w:r>
        <w:rPr/>
        <w:t>Acompanhar e fiscalizar a execução do contrato e o cumprimento das obrigações pelo Contratado;</w:t>
      </w:r>
    </w:p>
    <w:p>
      <w:pPr>
        <w:pStyle w:val="Nivel2"/>
        <w:numPr>
          <w:ilvl w:val="1"/>
          <w:numId w:val="151"/>
        </w:numPr>
        <w:ind w:left="0" w:hanging="0"/>
        <w:rPr/>
      </w:pPr>
      <w:r>
        <w:rPr/>
        <w:t>Efetuar o pagamento ao Contratado do valor correspondente à execução do objeto, no prazo, forma e condições estabelecidos no presente Contrato e no Termo de Referência;</w:t>
      </w:r>
    </w:p>
    <w:p>
      <w:pPr>
        <w:pStyle w:val="Nivel2"/>
        <w:numPr>
          <w:ilvl w:val="1"/>
          <w:numId w:val="152"/>
        </w:numPr>
        <w:ind w:left="0" w:hanging="0"/>
        <w:rPr/>
      </w:pPr>
      <w:r>
        <w:rPr/>
        <w:t xml:space="preserve">Aplicar ao Contratado as sanções previstas na lei e neste Contrato; </w:t>
      </w:r>
    </w:p>
    <w:p>
      <w:pPr>
        <w:pStyle w:val="Nivel2"/>
        <w:numPr>
          <w:ilvl w:val="1"/>
          <w:numId w:val="153"/>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54"/>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55"/>
        </w:numPr>
        <w:ind w:left="284" w:hanging="0"/>
        <w:rPr>
          <w:b/>
          <w:b/>
          <w:bCs/>
        </w:rPr>
      </w:pPr>
      <w:r>
        <w:rPr/>
        <w:t xml:space="preserve"> </w:t>
      </w:r>
      <w:r>
        <w:rPr/>
        <w:t>A Administração terá o prazo de</w:t>
      </w:r>
      <w:r>
        <w:rPr>
          <w:i/>
          <w:iCs/>
          <w:color w:val="FF0000"/>
        </w:rPr>
        <w:t xml:space="preserve"> </w:t>
      </w:r>
      <w:r>
        <w:rPr>
          <w:rFonts w:eastAsia="ＭＳ 明朝" w:cs="Arial"/>
          <w:b/>
          <w:bCs/>
          <w:i/>
          <w:iCs/>
          <w:color w:val="0845FA"/>
          <w:kern w:val="0"/>
          <w:sz w:val="20"/>
          <w:szCs w:val="20"/>
          <w:u w:val="single"/>
          <w:lang w:val="pt-BR" w:eastAsia="pt-BR" w:bidi="ar-SA"/>
        </w:rPr>
        <w:t>15 (quinze) dias.</w:t>
      </w:r>
      <w:r>
        <w:rPr/>
        <w:t xml:space="preserve"> a contar da data do protocolo do requerimento para decidir, admitida a prorrogação motivada, por igual período. </w:t>
      </w:r>
    </w:p>
    <w:p>
      <w:pPr>
        <w:pStyle w:val="Nivel2"/>
        <w:numPr>
          <w:ilvl w:val="1"/>
          <w:numId w:val="156"/>
        </w:numPr>
        <w:ind w:left="0" w:hanging="0"/>
        <w:rPr>
          <w:color w:val="FF0000"/>
        </w:rPr>
      </w:pPr>
      <w:r>
        <w:rPr/>
        <w:t xml:space="preserve">Responder eventuais pedidos de reestabelecimento do equilíbrio econômico-financeiro feitos pelo contratado no prazo máximo de </w:t>
      </w:r>
      <w:r>
        <w:rPr>
          <w:rFonts w:eastAsia="ＭＳ 明朝" w:cs="Arial"/>
          <w:b/>
          <w:bCs/>
          <w:color w:val="0845FA"/>
          <w:kern w:val="0"/>
          <w:sz w:val="20"/>
          <w:szCs w:val="20"/>
          <w:u w:val="single"/>
          <w:lang w:val="pt-BR" w:eastAsia="pt-BR" w:bidi="ar-SA"/>
        </w:rPr>
        <w:t>15 (quinze) dias.</w:t>
      </w:r>
    </w:p>
    <w:p>
      <w:pPr>
        <w:pStyle w:val="Nvel2Red"/>
        <w:numPr>
          <w:ilvl w:val="1"/>
          <w:numId w:val="157"/>
        </w:numPr>
        <w:ind w:left="0" w:hanging="0"/>
        <w:rPr/>
      </w:pPr>
      <w:bookmarkStart w:id="2" w:name="_Hlk114499841"/>
      <w:bookmarkEnd w:id="2"/>
      <w:r>
        <w:rPr/>
        <w:t>Notificar os emitentes das garantias quanto ao início de processo administrativo para apuração de descumprimento de cláusulas contratuais.</w:t>
      </w:r>
    </w:p>
    <w:p>
      <w:pPr>
        <w:pStyle w:val="Nivel2"/>
        <w:numPr>
          <w:ilvl w:val="1"/>
          <w:numId w:val="158"/>
        </w:numPr>
        <w:ind w:left="0" w:hanging="0"/>
        <w:rPr/>
      </w:pPr>
      <w:r>
        <w:rPr/>
        <w:t xml:space="preserve">Comunicar o Contratado na hipótese de posterior alteração do projeto pelo Contratante, no caso </w:t>
      </w:r>
      <w:r>
        <w:fldChar w:fldCharType="begin"/>
      </w:r>
      <w:r>
        <w:rPr>
          <w:rStyle w:val="LinkdaInternet"/>
        </w:rPr>
        <w:instrText>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159"/>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0"/>
        </w:numPr>
        <w:ind w:left="0" w:hanging="0"/>
        <w:rPr>
          <w:color w:val="FFFFFF" w:themeColor="background1"/>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p>
    <w:p>
      <w:pPr>
        <w:pStyle w:val="Nivel2"/>
        <w:numPr>
          <w:ilvl w:val="1"/>
          <w:numId w:val="16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vel2Red"/>
        <w:numPr>
          <w:ilvl w:val="1"/>
          <w:numId w:val="162"/>
        </w:numPr>
        <w:ind w:left="0" w:hanging="0"/>
        <w:rPr/>
      </w:pPr>
      <w:r>
        <w:rPr/>
        <w:t>Entregar o objeto acompanhado do manual do usuário, com uma versão em português, e da relação da rede de assistência técnica autorizada;</w:t>
      </w:r>
    </w:p>
    <w:p>
      <w:pPr>
        <w:pStyle w:val="Nivel2"/>
        <w:numPr>
          <w:ilvl w:val="1"/>
          <w:numId w:val="163"/>
        </w:numPr>
        <w:ind w:left="0" w:hanging="0"/>
        <w:rPr>
          <w:color w:val="000000" w:themeColor="text1"/>
        </w:rPr>
      </w:pPr>
      <w:r>
        <w:rPr/>
        <w:t>Responsabilizar-se pelos vícios e danos decorrentes do objeto, de acordo com o Código de Defesa do Consumidor (</w:t>
      </w:r>
      <w:hyperlink r:id="rId3">
        <w:r>
          <w:rPr>
            <w:rStyle w:val="LinkdaInternet"/>
          </w:rPr>
          <w:t>Lei nº 8.078, de 1990</w:t>
        </w:r>
      </w:hyperlink>
      <w:r>
        <w:rPr/>
        <w:t>);</w:t>
      </w:r>
    </w:p>
    <w:p>
      <w:pPr>
        <w:pStyle w:val="Nivel2"/>
        <w:numPr>
          <w:ilvl w:val="1"/>
          <w:numId w:val="164"/>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65"/>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66"/>
        </w:numPr>
        <w:ind w:left="0" w:hanging="0"/>
        <w:rPr/>
      </w:pPr>
      <w: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67"/>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8"/>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69"/>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0"/>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71"/>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2"/>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73"/>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74"/>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5"/>
        </w:numPr>
        <w:ind w:left="0" w:hanging="0"/>
        <w:rPr/>
      </w:pPr>
      <w:r>
        <w:rPr/>
        <w:t xml:space="preserve">  </w:t>
      </w:r>
      <w:r>
        <w:rPr/>
        <w:t xml:space="preserve">Guardar sigilo sobre todas as informações obtidas em decorrência do cumprimento do contrato; </w:t>
      </w:r>
    </w:p>
    <w:p>
      <w:pPr>
        <w:pStyle w:val="Nivel2"/>
        <w:numPr>
          <w:ilvl w:val="1"/>
          <w:numId w:val="176"/>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77"/>
        </w:numPr>
        <w:ind w:left="0" w:hanging="0"/>
        <w:rPr/>
      </w:pPr>
      <w:r>
        <w:rPr/>
        <w:t>Cumprir, além dos postulados legais vigentes de âmbito federal, estadual ou municipal, as normas de segurança do contratante;</w:t>
      </w:r>
    </w:p>
    <w:p>
      <w:pPr>
        <w:pStyle w:val="Nivel01"/>
        <w:numPr>
          <w:ilvl w:val="0"/>
          <w:numId w:val="178"/>
        </w:numPr>
        <w:ind w:left="0" w:hanging="0"/>
        <w:rPr>
          <w:color w:val="FFFFFF" w:themeColor="background1"/>
        </w:rPr>
      </w:pPr>
      <w:r>
        <w:rPr/>
        <w:t>CLÁUSULA DÉCIMA PRIMEIRA –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79"/>
        </w:numPr>
        <w:ind w:left="0" w:hanging="0"/>
        <w:rPr/>
      </w:pPr>
      <w:r>
        <w:rPr/>
        <w:t>Não haverá exigência de garantia contratual da execução.</w:t>
      </w:r>
    </w:p>
    <w:p>
      <w:pPr>
        <w:pStyle w:val="Nivel01"/>
        <w:numPr>
          <w:ilvl w:val="0"/>
          <w:numId w:val="180"/>
        </w:numPr>
        <w:ind w:left="0" w:hanging="0"/>
        <w:rPr>
          <w:color w:val="FFFFFF" w:themeColor="background1"/>
        </w:rPr>
      </w:pPr>
      <w:r>
        <w:rPr/>
        <w:t>CLÁUSULA DÉCIMA SEGUNDA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81"/>
        </w:numPr>
        <w:ind w:left="0" w:hanging="0"/>
        <w:rPr/>
      </w:pPr>
      <w:r>
        <w:rPr/>
        <w:t xml:space="preserve">Comete infração administrativa, nos termos da </w:t>
      </w:r>
      <w:hyperlink r:id="rId4">
        <w:r>
          <w:rPr>
            <w:rStyle w:val="LinkdaInternet"/>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82"/>
        </w:numPr>
        <w:ind w:left="0" w:hanging="0"/>
        <w:rPr/>
      </w:pPr>
      <w:r>
        <w:rPr/>
        <w:t>Serão aplicadas ao contratado que incorrer nas infrações acima descritas as seguintes sanções:</w:t>
      </w:r>
    </w:p>
    <w:p>
      <w:pPr>
        <w:pStyle w:val="Normal"/>
        <w:numPr>
          <w:ilvl w:val="2"/>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3" w:name="_Hlk114504069"/>
      <w:r>
        <w:rPr>
          <w:rStyle w:val="LinkdaInternet"/>
          <w:rFonts w:eastAsia="Arial" w:cs="Arial" w:ascii="Arial" w:hAnsi="Arial"/>
          <w:sz w:val="20"/>
          <w:szCs w:val="20"/>
        </w:rPr>
        <w:t>Lei nº 14.133, de 2021</w:t>
      </w:r>
      <w:bookmarkEnd w:id="3"/>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b/>
          <w:bCs/>
          <w:color w:val="0845FA"/>
          <w:kern w:val="0"/>
          <w:sz w:val="20"/>
          <w:szCs w:val="20"/>
          <w:u w:val="single"/>
          <w:lang w:val="pt-BR" w:eastAsia="pt-BR" w:bidi="ar-SA"/>
        </w:rPr>
        <w:t>0,5</w:t>
      </w:r>
      <w:r>
        <w:rPr>
          <w:rFonts w:eastAsia="Arial" w:cs="Arial" w:ascii="Arial" w:hAnsi="Arial"/>
          <w:b/>
          <w:bCs/>
          <w:color w:val="0845FA"/>
          <w:sz w:val="20"/>
          <w:szCs w:val="20"/>
          <w:u w:val="single"/>
        </w:rPr>
        <w:t xml:space="preserve"> (</w:t>
      </w:r>
      <w:r>
        <w:rPr>
          <w:rFonts w:eastAsia="Arial" w:cs="Arial" w:ascii="Arial" w:hAnsi="Arial"/>
          <w:b/>
          <w:bCs/>
          <w:color w:val="0845FA"/>
          <w:kern w:val="0"/>
          <w:sz w:val="20"/>
          <w:szCs w:val="20"/>
          <w:u w:val="single"/>
          <w:lang w:val="pt-BR" w:eastAsia="pt-BR" w:bidi="ar-SA"/>
        </w:rPr>
        <w:t>cinco décimos</w:t>
      </w:r>
      <w:r>
        <w:rPr>
          <w:rFonts w:eastAsia="Arial" w:cs="Arial" w:ascii="Arial" w:hAnsi="Arial"/>
          <w:sz w:val="20"/>
          <w:szCs w:val="20"/>
        </w:rPr>
        <w:t xml:space="preserve"> por cento) por dia de atraso injustificado sobre o valor da parcela inadimplida, até o limite de </w:t>
      </w:r>
      <w:r>
        <w:rPr>
          <w:rFonts w:eastAsia="Arial" w:cs="Arial" w:ascii="Arial" w:hAnsi="Arial"/>
          <w:b/>
          <w:bCs/>
          <w:color w:val="0845FA"/>
          <w:kern w:val="0"/>
          <w:sz w:val="20"/>
          <w:szCs w:val="20"/>
          <w:u w:val="single"/>
          <w:lang w:val="pt-BR" w:eastAsia="pt-BR" w:bidi="ar-SA"/>
        </w:rPr>
        <w:t>15</w:t>
      </w:r>
      <w:r>
        <w:rPr>
          <w:rFonts w:eastAsia="Arial" w:cs="Arial" w:ascii="Arial" w:hAnsi="Arial"/>
          <w:b/>
          <w:bCs/>
          <w:color w:val="0845FA"/>
          <w:sz w:val="20"/>
          <w:szCs w:val="20"/>
          <w:u w:val="single"/>
        </w:rPr>
        <w:t xml:space="preserve"> (</w:t>
      </w:r>
      <w:r>
        <w:rPr>
          <w:rFonts w:eastAsia="Arial" w:cs="Arial" w:ascii="Arial" w:hAnsi="Arial"/>
          <w:b/>
          <w:bCs/>
          <w:color w:val="0845FA"/>
          <w:kern w:val="0"/>
          <w:sz w:val="20"/>
          <w:szCs w:val="20"/>
          <w:u w:val="single"/>
          <w:lang w:val="pt-BR" w:eastAsia="pt-BR" w:bidi="ar-SA"/>
        </w:rPr>
        <w:t>quinze</w:t>
      </w:r>
      <w:r>
        <w:rPr>
          <w:rFonts w:eastAsia="Arial" w:cs="Arial" w:ascii="Arial" w:hAnsi="Arial"/>
          <w:b/>
          <w:bCs/>
          <w:color w:val="0845FA"/>
          <w:sz w:val="20"/>
          <w:szCs w:val="20"/>
          <w:u w:val="single"/>
        </w:rPr>
        <w:t>)</w:t>
      </w:r>
      <w:r>
        <w:rPr>
          <w:rFonts w:eastAsia="Arial" w:cs="Arial" w:ascii="Arial" w:hAnsi="Arial"/>
          <w:sz w:val="20"/>
          <w:szCs w:val="20"/>
        </w:rPr>
        <w:t xml:space="preserve"> dias;</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 </w:t>
      </w:r>
      <w:r>
        <w:rPr>
          <w:rFonts w:eastAsia="Arial" w:cs="Arial" w:ascii="Arial" w:hAnsi="Arial"/>
          <w:sz w:val="20"/>
          <w:szCs w:val="20"/>
          <w:highlight w:val="yellow"/>
        </w:rPr>
        <w:t xml:space="preserve">Compensatória, para as infrações descritas nas alíneas “e” a “h” do subitem 12.1, de </w:t>
      </w:r>
      <w:r>
        <w:rPr>
          <w:rFonts w:eastAsia="Arial" w:cs="Arial" w:ascii="Arial" w:hAnsi="Arial"/>
          <w:b/>
          <w:bCs/>
          <w:color w:val="0845FA"/>
          <w:kern w:val="0"/>
          <w:sz w:val="20"/>
          <w:szCs w:val="20"/>
          <w:highlight w:val="yellow"/>
          <w:u w:val="single"/>
          <w:lang w:val="pt-BR" w:eastAsia="pt-BR" w:bidi="ar-SA"/>
        </w:rPr>
        <w:t>0,1</w:t>
      </w:r>
      <w:r>
        <w:rPr>
          <w:rFonts w:eastAsia="Arial" w:cs="Arial" w:ascii="Arial" w:hAnsi="Arial"/>
          <w:b/>
          <w:bCs/>
          <w:color w:val="0845FA"/>
          <w:sz w:val="20"/>
          <w:szCs w:val="20"/>
          <w:highlight w:val="yellow"/>
          <w:u w:val="single"/>
        </w:rPr>
        <w:t xml:space="preserve">% a </w:t>
      </w:r>
      <w:r>
        <w:rPr>
          <w:rFonts w:eastAsia="Arial" w:cs="Arial" w:ascii="Arial" w:hAnsi="Arial"/>
          <w:b/>
          <w:bCs/>
          <w:color w:val="0845FA"/>
          <w:kern w:val="0"/>
          <w:sz w:val="20"/>
          <w:szCs w:val="20"/>
          <w:highlight w:val="yellow"/>
          <w:u w:val="single"/>
          <w:lang w:val="pt-BR" w:eastAsia="pt-BR" w:bidi="ar-SA"/>
        </w:rPr>
        <w:t>5</w:t>
      </w:r>
      <w:r>
        <w:rPr>
          <w:rFonts w:eastAsia="Arial" w:cs="Arial" w:ascii="Arial" w:hAnsi="Arial"/>
          <w:b/>
          <w:bCs/>
          <w:color w:val="0845FA"/>
          <w:sz w:val="20"/>
          <w:szCs w:val="20"/>
          <w:highlight w:val="yellow"/>
          <w:u w:val="single"/>
        </w:rPr>
        <w:t>%</w:t>
      </w:r>
      <w:r>
        <w:rPr>
          <w:rFonts w:eastAsia="Arial" w:cs="Arial" w:ascii="Arial" w:hAnsi="Arial"/>
          <w:sz w:val="20"/>
          <w:szCs w:val="20"/>
          <w:highlight w:val="yellow"/>
        </w:rPr>
        <w:t xml:space="preserve"> do valor do Contrato.</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 inexecução total do contrato prevista na alínea “c” do subitem 12.1, de </w:t>
      </w:r>
      <w:r>
        <w:rPr>
          <w:rFonts w:eastAsia="Arial" w:cs="Arial" w:ascii="Arial" w:hAnsi="Arial"/>
          <w:b/>
          <w:bCs/>
          <w:color w:val="0845FA"/>
          <w:kern w:val="0"/>
          <w:sz w:val="20"/>
          <w:szCs w:val="20"/>
          <w:highlight w:val="yellow"/>
          <w:u w:val="single"/>
          <w:lang w:val="pt-BR" w:eastAsia="pt-BR" w:bidi="ar-SA"/>
        </w:rPr>
        <w:t>0,1</w:t>
      </w:r>
      <w:r>
        <w:rPr>
          <w:rFonts w:eastAsia="Arial" w:cs="Arial" w:ascii="Arial" w:hAnsi="Arial"/>
          <w:b/>
          <w:bCs/>
          <w:color w:val="0845FA"/>
          <w:sz w:val="20"/>
          <w:szCs w:val="20"/>
          <w:highlight w:val="yellow"/>
          <w:u w:val="single"/>
        </w:rPr>
        <w:t xml:space="preserve">% a </w:t>
      </w:r>
      <w:r>
        <w:rPr>
          <w:rFonts w:eastAsia="Arial" w:cs="Arial" w:ascii="Arial" w:hAnsi="Arial"/>
          <w:b/>
          <w:bCs/>
          <w:color w:val="0845FA"/>
          <w:kern w:val="0"/>
          <w:sz w:val="20"/>
          <w:szCs w:val="20"/>
          <w:highlight w:val="yellow"/>
          <w:u w:val="single"/>
          <w:lang w:val="pt-BR" w:eastAsia="pt-BR" w:bidi="ar-SA"/>
        </w:rPr>
        <w:t>5</w:t>
      </w:r>
      <w:r>
        <w:rPr>
          <w:rFonts w:eastAsia="Arial" w:cs="Arial" w:ascii="Arial" w:hAnsi="Arial"/>
          <w:b/>
          <w:bCs/>
          <w:color w:val="0845FA"/>
          <w:sz w:val="20"/>
          <w:szCs w:val="20"/>
          <w:highlight w:val="yellow"/>
          <w:u w:val="single"/>
        </w:rPr>
        <w:t>%</w:t>
      </w:r>
      <w:r>
        <w:rPr>
          <w:rFonts w:eastAsia="Arial" w:cs="Arial" w:ascii="Arial" w:hAnsi="Arial"/>
          <w:sz w:val="20"/>
          <w:szCs w:val="20"/>
          <w:highlight w:val="yellow"/>
        </w:rPr>
        <w:t xml:space="preserve">  do valor do Contrato. </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Para infração descrita na alínea “b” do subitem 12.1, a multa será de </w:t>
      </w:r>
      <w:r>
        <w:rPr>
          <w:rFonts w:eastAsia="Arial" w:cs="Arial" w:ascii="Arial" w:hAnsi="Arial"/>
          <w:b/>
          <w:bCs/>
          <w:color w:val="0845FA"/>
          <w:kern w:val="0"/>
          <w:sz w:val="20"/>
          <w:szCs w:val="20"/>
          <w:highlight w:val="yellow"/>
          <w:u w:val="single"/>
          <w:lang w:val="pt-BR" w:eastAsia="pt-BR" w:bidi="ar-SA"/>
        </w:rPr>
        <w:t>0,1</w:t>
      </w:r>
      <w:r>
        <w:rPr>
          <w:rFonts w:eastAsia="Arial" w:cs="Arial" w:ascii="Arial" w:hAnsi="Arial"/>
          <w:b/>
          <w:bCs/>
          <w:color w:val="0845FA"/>
          <w:sz w:val="20"/>
          <w:szCs w:val="20"/>
          <w:highlight w:val="yellow"/>
          <w:u w:val="single"/>
        </w:rPr>
        <w:t xml:space="preserve">% a </w:t>
      </w:r>
      <w:r>
        <w:rPr>
          <w:rFonts w:eastAsia="Arial" w:cs="Arial" w:ascii="Arial" w:hAnsi="Arial"/>
          <w:b/>
          <w:bCs/>
          <w:color w:val="0845FA"/>
          <w:kern w:val="0"/>
          <w:sz w:val="20"/>
          <w:szCs w:val="20"/>
          <w:highlight w:val="yellow"/>
          <w:u w:val="single"/>
          <w:lang w:val="pt-BR" w:eastAsia="pt-BR" w:bidi="ar-SA"/>
        </w:rPr>
        <w:t>4</w:t>
      </w:r>
      <w:r>
        <w:rPr>
          <w:rFonts w:eastAsia="Arial" w:cs="Arial" w:ascii="Arial" w:hAnsi="Arial"/>
          <w:b/>
          <w:bCs/>
          <w:color w:val="0845FA"/>
          <w:sz w:val="20"/>
          <w:szCs w:val="20"/>
          <w:highlight w:val="yellow"/>
          <w:u w:val="single"/>
        </w:rPr>
        <w:t>%</w:t>
      </w:r>
      <w:r>
        <w:rPr>
          <w:rFonts w:eastAsia="Arial" w:cs="Arial" w:ascii="Arial" w:hAnsi="Arial"/>
          <w:sz w:val="20"/>
          <w:szCs w:val="20"/>
          <w:highlight w:val="yellow"/>
        </w:rPr>
        <w:t xml:space="preserve">  do valor do Contrato.</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Para infrações descritas na alínea “d” do subitem 12.1, a multa será de </w:t>
      </w:r>
      <w:r>
        <w:rPr>
          <w:rFonts w:eastAsia="Arial" w:cs="Arial" w:ascii="Arial" w:hAnsi="Arial"/>
          <w:b/>
          <w:bCs/>
          <w:color w:val="0845FA"/>
          <w:kern w:val="0"/>
          <w:sz w:val="20"/>
          <w:szCs w:val="20"/>
          <w:highlight w:val="yellow"/>
          <w:u w:val="single"/>
          <w:lang w:val="pt-BR" w:eastAsia="pt-BR" w:bidi="ar-SA"/>
        </w:rPr>
        <w:t>0,1</w:t>
      </w:r>
      <w:r>
        <w:rPr>
          <w:rFonts w:eastAsia="Arial" w:cs="Arial" w:ascii="Arial" w:hAnsi="Arial"/>
          <w:b/>
          <w:bCs/>
          <w:color w:val="0845FA"/>
          <w:sz w:val="20"/>
          <w:szCs w:val="20"/>
          <w:highlight w:val="yellow"/>
          <w:u w:val="single"/>
        </w:rPr>
        <w:t xml:space="preserve">% a </w:t>
      </w:r>
      <w:r>
        <w:rPr>
          <w:rFonts w:eastAsia="Arial" w:cs="Arial" w:ascii="Arial" w:hAnsi="Arial"/>
          <w:b/>
          <w:bCs/>
          <w:color w:val="0845FA"/>
          <w:kern w:val="0"/>
          <w:sz w:val="20"/>
          <w:szCs w:val="20"/>
          <w:highlight w:val="yellow"/>
          <w:u w:val="single"/>
          <w:lang w:val="pt-BR" w:eastAsia="pt-BR" w:bidi="ar-SA"/>
        </w:rPr>
        <w:t>3</w:t>
      </w:r>
      <w:r>
        <w:rPr>
          <w:rFonts w:eastAsia="Arial" w:cs="Arial" w:ascii="Arial" w:hAnsi="Arial"/>
          <w:b/>
          <w:bCs/>
          <w:color w:val="0845FA"/>
          <w:sz w:val="20"/>
          <w:szCs w:val="20"/>
          <w:highlight w:val="yellow"/>
          <w:u w:val="single"/>
        </w:rPr>
        <w:t>%</w:t>
      </w:r>
      <w:r>
        <w:rPr>
          <w:rFonts w:eastAsia="Arial" w:cs="Arial" w:ascii="Arial" w:hAnsi="Arial"/>
          <w:sz w:val="20"/>
          <w:szCs w:val="20"/>
          <w:highlight w:val="yellow"/>
        </w:rPr>
        <w:t xml:space="preserve">  do valor do Contrato.</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Para a infração descrita na alínea “a” do subitem 12.1, a multa será de </w:t>
      </w:r>
      <w:r>
        <w:rPr>
          <w:rFonts w:eastAsia="Arial" w:cs="Arial" w:ascii="Arial" w:hAnsi="Arial"/>
          <w:b/>
          <w:bCs/>
          <w:color w:val="0845FA"/>
          <w:kern w:val="0"/>
          <w:sz w:val="20"/>
          <w:szCs w:val="20"/>
          <w:highlight w:val="yellow"/>
          <w:u w:val="single"/>
          <w:lang w:val="pt-BR" w:eastAsia="pt-BR" w:bidi="ar-SA"/>
        </w:rPr>
        <w:t>0,1</w:t>
      </w:r>
      <w:r>
        <w:rPr>
          <w:rFonts w:eastAsia="Arial" w:cs="Arial" w:ascii="Arial" w:hAnsi="Arial"/>
          <w:b/>
          <w:bCs/>
          <w:color w:val="0845FA"/>
          <w:sz w:val="20"/>
          <w:szCs w:val="20"/>
          <w:highlight w:val="yellow"/>
          <w:u w:val="single"/>
        </w:rPr>
        <w:t xml:space="preserve">% a </w:t>
      </w:r>
      <w:r>
        <w:rPr>
          <w:rFonts w:eastAsia="Arial" w:cs="Arial" w:ascii="Arial" w:hAnsi="Arial"/>
          <w:b/>
          <w:bCs/>
          <w:color w:val="0845FA"/>
          <w:kern w:val="0"/>
          <w:sz w:val="20"/>
          <w:szCs w:val="20"/>
          <w:highlight w:val="yellow"/>
          <w:u w:val="single"/>
          <w:lang w:val="pt-BR" w:eastAsia="pt-BR" w:bidi="ar-SA"/>
        </w:rPr>
        <w:t>5</w:t>
      </w:r>
      <w:r>
        <w:rPr>
          <w:rFonts w:eastAsia="Arial" w:cs="Arial" w:ascii="Arial" w:hAnsi="Arial"/>
          <w:b/>
          <w:bCs/>
          <w:color w:val="0845FA"/>
          <w:sz w:val="20"/>
          <w:szCs w:val="20"/>
          <w:highlight w:val="yellow"/>
          <w:u w:val="single"/>
        </w:rPr>
        <w:t>%</w:t>
      </w:r>
      <w:r>
        <w:rPr>
          <w:rFonts w:eastAsia="Arial" w:cs="Arial" w:ascii="Arial" w:hAnsi="Arial"/>
          <w:sz w:val="20"/>
          <w:szCs w:val="20"/>
          <w:highlight w:val="yellow"/>
        </w:rPr>
        <w:t xml:space="preserve"> do valor do Contrato, ressalvadas as seguintes infrações:</w:t>
      </w:r>
    </w:p>
    <w:p>
      <w:pPr>
        <w:pStyle w:val="Nivel2"/>
        <w:numPr>
          <w:ilvl w:val="1"/>
          <w:numId w:val="183"/>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84"/>
        </w:numPr>
        <w:ind w:left="0"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85"/>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2"/>
        <w:numPr>
          <w:ilvl w:val="1"/>
          <w:numId w:val="186"/>
        </w:numPr>
        <w:ind w:left="0"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2"/>
        <w:numPr>
          <w:ilvl w:val="1"/>
          <w:numId w:val="187"/>
        </w:numPr>
        <w:ind w:left="0" w:hanging="0"/>
        <w:rPr/>
      </w:pPr>
      <w:r>
        <w:rPr/>
        <w:t xml:space="preserve">Previamente ao encaminhamento à cobrança judicial, a multa poderá ser recolhida administrativamente no prazo máximo de </w:t>
      </w:r>
      <w:r>
        <w:rPr>
          <w:rFonts w:eastAsia="ＭＳ 明朝" w:cs="Arial"/>
          <w:b/>
          <w:bCs/>
          <w:i/>
          <w:iCs/>
          <w:color w:val="0845FA"/>
          <w:kern w:val="0"/>
          <w:sz w:val="20"/>
          <w:szCs w:val="20"/>
          <w:u w:val="single"/>
          <w:lang w:val="pt-BR" w:eastAsia="pt-BR" w:bidi="ar-SA"/>
        </w:rPr>
        <w:t>15</w:t>
      </w:r>
      <w:r>
        <w:rPr>
          <w:b/>
          <w:bCs/>
          <w:i/>
          <w:iCs/>
          <w:color w:val="0845FA"/>
          <w:u w:val="single"/>
        </w:rPr>
        <w:t xml:space="preserve"> (</w:t>
      </w:r>
      <w:r>
        <w:rPr>
          <w:rFonts w:eastAsia="ＭＳ 明朝" w:cs="Arial"/>
          <w:b/>
          <w:bCs/>
          <w:i/>
          <w:iCs/>
          <w:color w:val="0845FA"/>
          <w:kern w:val="0"/>
          <w:sz w:val="20"/>
          <w:szCs w:val="20"/>
          <w:u w:val="single"/>
          <w:lang w:val="pt-BR" w:eastAsia="pt-BR" w:bidi="ar-SA"/>
        </w:rPr>
        <w:t>quinze</w:t>
      </w:r>
      <w:r>
        <w:rPr>
          <w:b/>
          <w:bCs/>
          <w:i/>
          <w:iCs/>
          <w:color w:val="0845FA"/>
          <w:u w:val="single"/>
        </w:rPr>
        <w:t>)</w:t>
      </w:r>
      <w:r>
        <w:rPr>
          <w:i/>
          <w:iCs/>
          <w:color w:val="FF0000"/>
        </w:rPr>
        <w:t xml:space="preserve"> </w:t>
      </w:r>
      <w:r>
        <w:rPr/>
        <w:t>dias, a contar da data do recebimento da comunicação enviada pela autoridade competente.</w:t>
      </w:r>
      <w:bookmarkStart w:id="4" w:name="_Hlk78351618"/>
      <w:bookmarkEnd w:id="4"/>
    </w:p>
    <w:p>
      <w:pPr>
        <w:pStyle w:val="Nivel2"/>
        <w:numPr>
          <w:ilvl w:val="1"/>
          <w:numId w:val="188"/>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89"/>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90"/>
        </w:numPr>
        <w:ind w:left="0" w:hanging="0"/>
        <w:rPr/>
      </w:pPr>
      <w:r>
        <w:rPr/>
        <w:t xml:space="preserve">Os atos previstos como infrações administrativas na </w:t>
      </w:r>
      <w:hyperlink r:id="rId5">
        <w:r>
          <w:rPr>
            <w:rStyle w:val="LinkdaInternet"/>
          </w:rPr>
          <w:t>Lei nº 14.133, de 2021</w:t>
        </w:r>
      </w:hyperlink>
      <w:r>
        <w:rPr/>
        <w:t xml:space="preserve">, ou em outras leis de licitações e contratos da Administração Pública que também sejam tipificados como atos lesivos </w:t>
      </w:r>
      <w:hyperlink r:id="rId6">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191"/>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92"/>
        </w:numPr>
        <w:ind w:left="0" w:hanging="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93"/>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194"/>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
        <w:r>
          <w:rPr>
            <w:rStyle w:val="LinkdaInternet"/>
          </w:rPr>
          <w:t>Instrução Normativa SEGES/ME nº 26, de 13 de abril de 2022</w:t>
        </w:r>
      </w:hyperlink>
      <w:r>
        <w:rPr/>
        <w:t xml:space="preserve">. </w:t>
      </w:r>
    </w:p>
    <w:p>
      <w:pPr>
        <w:pStyle w:val="Nivel01"/>
        <w:numPr>
          <w:ilvl w:val="0"/>
          <w:numId w:val="195"/>
        </w:numPr>
        <w:ind w:left="0" w:hanging="0"/>
        <w:rPr>
          <w:color w:val="FFFFFF" w:themeColor="background1"/>
        </w:rPr>
      </w:pPr>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196"/>
        </w:numPr>
        <w:ind w:left="0" w:hanging="0"/>
        <w:rPr>
          <w:strike w:val="false"/>
          <w:dstrike w:val="false"/>
        </w:rPr>
      </w:pPr>
      <w:r>
        <w:rPr>
          <w:strike w:val="false"/>
          <w:dstrike w:val="false"/>
        </w:rPr>
        <w:t xml:space="preserve">O contrato </w:t>
      </w:r>
      <w:r>
        <w:rPr>
          <w:strike w:val="false"/>
          <w:dstrike w:val="false"/>
          <w:highlight w:val="yellow"/>
        </w:rPr>
        <w:t>será extinto</w:t>
      </w:r>
      <w:r>
        <w:rPr>
          <w:strike w:val="false"/>
          <w:dstrike w:val="false"/>
        </w:rPr>
        <w:t xml:space="preserve"> quando cumpridas as obrigações de ambas as partes, ainda que isso ocorra antes do prazo estipulado para tanto.</w:t>
      </w:r>
    </w:p>
    <w:p>
      <w:pPr>
        <w:pStyle w:val="Nvel2Red"/>
        <w:numPr>
          <w:ilvl w:val="1"/>
          <w:numId w:val="197"/>
        </w:numPr>
        <w:ind w:left="0" w:hanging="0"/>
        <w:rPr>
          <w:strike w:val="false"/>
          <w:dstrike w:val="false"/>
        </w:rPr>
      </w:pPr>
      <w:r>
        <w:rPr>
          <w:strike w:val="false"/>
          <w:dstrike w:val="false"/>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198"/>
        </w:numPr>
        <w:ind w:left="0" w:hanging="0"/>
        <w:rPr>
          <w:strike w:val="false"/>
          <w:dstrike w:val="false"/>
        </w:rPr>
      </w:pPr>
      <w:r>
        <w:rPr>
          <w:strike w:val="false"/>
          <w:dstrike w:val="false"/>
        </w:rPr>
        <w:t>Quando a não conclusão do contrato referida no item anterior decorrer de culpa do contratado:</w:t>
      </w:r>
    </w:p>
    <w:p>
      <w:pPr>
        <w:pStyle w:val="ListParagraph"/>
        <w:numPr>
          <w:ilvl w:val="0"/>
          <w:numId w:val="2"/>
        </w:numPr>
        <w:suppressAutoHyphens w:val="true"/>
        <w:spacing w:lineRule="auto" w:line="276" w:before="120" w:after="120"/>
        <w:ind w:left="284" w:hanging="0"/>
        <w:contextualSpacing/>
        <w:jc w:val="both"/>
        <w:rPr>
          <w:strike w:val="false"/>
          <w:dstrike w:val="false"/>
        </w:rPr>
      </w:pPr>
      <w:r>
        <w:rPr>
          <w:rFonts w:eastAsia="Arial" w:cs="Arial" w:ascii="Arial" w:hAnsi="Arial"/>
          <w:i/>
          <w:iCs/>
          <w:strike w:val="false"/>
          <w:dstrike w:val="false"/>
          <w:color w:val="FF0000"/>
          <w:sz w:val="20"/>
          <w:szCs w:val="20"/>
        </w:rPr>
        <w:t xml:space="preserve">ficará ele constituído em mora, sendo-lhe aplicáveis as respectivas sanções administrativas; e  </w:t>
      </w:r>
    </w:p>
    <w:p>
      <w:pPr>
        <w:pStyle w:val="ListParagraph"/>
        <w:numPr>
          <w:ilvl w:val="0"/>
          <w:numId w:val="2"/>
        </w:numPr>
        <w:suppressAutoHyphens w:val="true"/>
        <w:spacing w:lineRule="auto" w:line="276" w:before="120" w:after="120"/>
        <w:ind w:left="284" w:hanging="0"/>
        <w:contextualSpacing/>
        <w:jc w:val="both"/>
        <w:rPr>
          <w:strike w:val="false"/>
          <w:dstrike w:val="false"/>
        </w:rPr>
      </w:pPr>
      <w:r>
        <w:rPr>
          <w:rFonts w:eastAsia="Arial" w:cs="Arial" w:ascii="Arial" w:hAnsi="Arial"/>
          <w:i/>
          <w:iCs/>
          <w:strike w:val="false"/>
          <w:dstrike w:val="false"/>
          <w:color w:val="FF0000"/>
          <w:sz w:val="20"/>
          <w:szCs w:val="20"/>
        </w:rPr>
        <w:t>poderá a Administração optar pela extinção do contrato e, nesse caso, adotará as medidas admitidas em lei para a continuidade da execução contratual</w:t>
      </w:r>
    </w:p>
    <w:p>
      <w:pPr>
        <w:pStyle w:val="Nivel2"/>
        <w:numPr>
          <w:ilvl w:val="1"/>
          <w:numId w:val="199"/>
        </w:numPr>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200"/>
        </w:numPr>
        <w:ind w:left="284"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numPr>
          <w:ilvl w:val="2"/>
          <w:numId w:val="201"/>
        </w:numPr>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202"/>
        </w:numPr>
        <w:ind w:left="567" w:hanging="0"/>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203"/>
        </w:numPr>
        <w:ind w:left="0" w:hanging="0"/>
        <w:rPr/>
      </w:pPr>
      <w:r>
        <w:rPr/>
        <w:t xml:space="preserve">O termo de </w:t>
      </w:r>
      <w:r>
        <w:rPr>
          <w:highlight w:val="yellow"/>
        </w:rPr>
        <w:t>extinção</w:t>
      </w:r>
      <w:r>
        <w:rPr/>
        <w:t>, sempre que possível, será precedido:</w:t>
      </w:r>
    </w:p>
    <w:p>
      <w:pPr>
        <w:pStyle w:val="Nivel4"/>
        <w:numPr>
          <w:ilvl w:val="3"/>
          <w:numId w:val="204"/>
        </w:numPr>
        <w:ind w:left="567" w:hanging="0"/>
        <w:rPr/>
      </w:pPr>
      <w:r>
        <w:rPr/>
        <w:t>Balanço dos eventos contratuais já cumpridos ou parcialmente cumpridos;</w:t>
      </w:r>
    </w:p>
    <w:p>
      <w:pPr>
        <w:pStyle w:val="Nivel4"/>
        <w:numPr>
          <w:ilvl w:val="3"/>
          <w:numId w:val="205"/>
        </w:numPr>
        <w:ind w:left="567" w:hanging="0"/>
        <w:rPr/>
      </w:pPr>
      <w:r>
        <w:rPr/>
        <w:t>Relação dos pagamentos já efetuados e ainda devidos;</w:t>
      </w:r>
    </w:p>
    <w:p>
      <w:pPr>
        <w:pStyle w:val="Nivel4"/>
        <w:numPr>
          <w:ilvl w:val="3"/>
          <w:numId w:val="206"/>
        </w:numPr>
        <w:ind w:left="567" w:hanging="0"/>
        <w:rPr/>
      </w:pPr>
      <w:r>
        <w:rPr/>
        <w:t>Indenizações e multas.</w:t>
      </w:r>
    </w:p>
    <w:p>
      <w:pPr>
        <w:pStyle w:val="Nivel2"/>
        <w:numPr>
          <w:ilvl w:val="1"/>
          <w:numId w:val="207"/>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08"/>
        </w:numPr>
        <w:ind w:left="0" w:hanging="0"/>
        <w:rPr>
          <w:highlight w:val="yellow"/>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09"/>
        </w:numPr>
        <w:ind w:left="0" w:hanging="0"/>
        <w:rPr>
          <w:color w:val="FFFFFF" w:themeColor="background1"/>
        </w:rPr>
      </w:pPr>
      <w:r>
        <w:rPr/>
        <w:t>CLÁUSULA DÉCIMA QUARTA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10"/>
        </w:numPr>
        <w:ind w:left="0" w:hanging="0"/>
        <w:rPr/>
      </w:pPr>
      <w:r>
        <w:rPr/>
        <w:t>As despesas decorrentes da presente contratação correrão à conta de recursos específicos consignados no Orçamento Geral da União deste exercício, na dotação abaixo discriminada:</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3"/>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Nota de Empenho:</w:t>
      </w:r>
    </w:p>
    <w:p>
      <w:pPr>
        <w:pStyle w:val="Nvel2Red"/>
        <w:numPr>
          <w:ilvl w:val="1"/>
          <w:numId w:val="211"/>
        </w:numPr>
        <w:ind w:left="0" w:hanging="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212"/>
        </w:numPr>
        <w:ind w:left="0" w:hanging="0"/>
        <w:rPr>
          <w:color w:val="FFFFFF" w:themeColor="background1"/>
        </w:rPr>
      </w:pPr>
      <w:r>
        <w:rPr/>
        <w:t>CLÁUSULA DÉCIMA QUINTA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13"/>
        </w:numPr>
        <w:ind w:left="0" w:hanging="0"/>
        <w:rPr/>
      </w:pPr>
      <w:r>
        <w:rPr/>
        <w:t xml:space="preserve">Os casos omissos serão decididos pelo contratante, segundo as disposições contidas na </w:t>
      </w:r>
      <w:hyperlink r:id="rId8">
        <w:r>
          <w:rPr>
            <w:rStyle w:val="LinkdaInternet"/>
          </w:rPr>
          <w:t>Lei nº 14.133, de 2021</w:t>
        </w:r>
      </w:hyperlink>
      <w:r>
        <w:rPr/>
        <w:t xml:space="preserve">, e demais normas federais aplicáveis e, subsidiariamente, segundo as disposições contidas na </w:t>
      </w:r>
      <w:hyperlink r:id="rId9">
        <w:r>
          <w:rPr>
            <w:rStyle w:val="LinkdaInternet"/>
          </w:rPr>
          <w:t>Lei nº 8.078, de 1990 – Código de Defesa do Consumidor</w:t>
        </w:r>
      </w:hyperlink>
      <w:r>
        <w:rPr/>
        <w:t xml:space="preserve"> – e normas e princípios gerais dos contratos.</w:t>
      </w:r>
    </w:p>
    <w:p>
      <w:pPr>
        <w:pStyle w:val="Nivel01"/>
        <w:numPr>
          <w:ilvl w:val="0"/>
          <w:numId w:val="214"/>
        </w:numPr>
        <w:ind w:left="0" w:hanging="0"/>
        <w:rPr>
          <w:color w:val="FFFFFF" w:themeColor="background1"/>
        </w:rPr>
      </w:pPr>
      <w:r>
        <w:rPr/>
        <w:t>CLÁUSULA DÉCIMA SEXTA – ALTERAÇÕES</w:t>
      </w:r>
    </w:p>
    <w:p>
      <w:pPr>
        <w:pStyle w:val="Nivel2"/>
        <w:numPr>
          <w:ilvl w:val="1"/>
          <w:numId w:val="215"/>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16"/>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17"/>
        </w:numPr>
        <w:ind w:left="0" w:hanging="0"/>
        <w:rPr>
          <w:highlight w:val="yellow"/>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18"/>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19"/>
        </w:numPr>
        <w:ind w:left="0" w:hanging="0"/>
        <w:rPr>
          <w:color w:val="FFFFFF" w:themeColor="background1"/>
        </w:rPr>
      </w:pPr>
      <w:r>
        <w:rPr/>
        <w:t>CLÁUSULA DÉCIMA SÉTIMA – PUBLICAÇÃO</w:t>
      </w:r>
    </w:p>
    <w:p>
      <w:pPr>
        <w:pStyle w:val="Nivel2"/>
        <w:numPr>
          <w:ilvl w:val="1"/>
          <w:numId w:val="220"/>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rPr>
          <w:highlight w:val="yellow"/>
        </w:rPr>
        <w:t xml:space="preserve">art. 91, </w:t>
      </w:r>
      <w:r>
        <w:rPr>
          <w:i/>
          <w:iCs/>
          <w:highlight w:val="yellow"/>
        </w:rPr>
        <w:t>caput,</w:t>
      </w:r>
      <w:r>
        <w:rPr>
          <w:highlight w:val="yellow"/>
        </w:rPr>
        <w:t xml:space="preserve"> da Lei n.º 14.133, de 2021, </w:t>
      </w:r>
      <w:r>
        <w:rPr/>
        <w:t xml:space="preserve">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221"/>
        </w:numPr>
        <w:ind w:left="0" w:hanging="0"/>
        <w:rPr>
          <w:color w:val="FFFFFF" w:themeColor="background1"/>
        </w:rPr>
      </w:pPr>
      <w:r>
        <w:rPr/>
        <w:t>CLÁUSULA DÉCIMA OITAVA–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22"/>
        </w:numPr>
        <w:ind w:left="0" w:hanging="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ormal"/>
        <w:widowControl/>
        <w:numPr>
          <w:ilvl w:val="0"/>
          <w:numId w:val="0"/>
        </w:numPr>
        <w:suppressAutoHyphens w:val="true"/>
        <w:bidi w:val="0"/>
        <w:spacing w:lineRule="auto" w:line="276" w:before="0" w:after="120"/>
        <w:ind w:left="0" w:right="0" w:hanging="0"/>
        <w:jc w:val="left"/>
        <w:rPr>
          <w:b/>
          <w:b/>
          <w:bCs/>
          <w:color w:val="C9211E"/>
          <w:u w:val="single"/>
        </w:rPr>
      </w:pPr>
      <w:r>
        <w:rPr>
          <w:rFonts w:cs="Arial" w:ascii="arial" w:hAnsi="arial"/>
          <w:b/>
          <w:bCs/>
          <w:i/>
          <w:iCs/>
          <w:color w:val="C9211E"/>
          <w:sz w:val="20"/>
          <w:szCs w:val="20"/>
          <w:u w:val="single"/>
        </w:rPr>
        <w:t xml:space="preserve">Goiânia-GO, </w:t>
      </w:r>
      <w:r>
        <w:rPr>
          <w:rFonts w:eastAsia="ＭＳ 明朝" w:cs="Arial" w:ascii="arial" w:hAnsi="arial"/>
          <w:b/>
          <w:bCs/>
          <w:i/>
          <w:iCs/>
          <w:color w:val="C9211E"/>
          <w:kern w:val="0"/>
          <w:sz w:val="20"/>
          <w:szCs w:val="20"/>
          <w:highlight w:val="yellow"/>
          <w:u w:val="single"/>
          <w:lang w:val="pt-BR" w:eastAsia="pt-BR" w:bidi="ar-SA"/>
        </w:rPr>
        <w:t>xx</w:t>
      </w:r>
      <w:r>
        <w:rPr>
          <w:rFonts w:cs="Arial" w:ascii="arial" w:hAnsi="arial"/>
          <w:b/>
          <w:bCs/>
          <w:i/>
          <w:iCs/>
          <w:color w:val="C9211E"/>
          <w:sz w:val="20"/>
          <w:szCs w:val="20"/>
          <w:u w:val="single"/>
        </w:rPr>
        <w:t xml:space="preserve"> de </w:t>
      </w:r>
      <w:r>
        <w:rPr>
          <w:rFonts w:eastAsia="ＭＳ 明朝" w:cs="Arial" w:ascii="arial" w:hAnsi="arial"/>
          <w:b/>
          <w:bCs/>
          <w:i/>
          <w:iCs/>
          <w:color w:val="C9211E"/>
          <w:kern w:val="0"/>
          <w:sz w:val="20"/>
          <w:szCs w:val="20"/>
          <w:highlight w:val="yellow"/>
          <w:u w:val="single"/>
          <w:lang w:val="pt-BR" w:eastAsia="pt-BR" w:bidi="ar-SA"/>
        </w:rPr>
        <w:t>xxxxxxxx</w:t>
      </w:r>
      <w:r>
        <w:rPr>
          <w:rFonts w:cs="Arial" w:ascii="arial" w:hAnsi="arial"/>
          <w:b/>
          <w:bCs/>
          <w:i/>
          <w:iCs/>
          <w:color w:val="C9211E"/>
          <w:sz w:val="20"/>
          <w:szCs w:val="20"/>
          <w:u w:val="single"/>
        </w:rPr>
        <w:t xml:space="preserve"> de 202</w:t>
      </w:r>
      <w:r>
        <w:rPr>
          <w:rFonts w:eastAsia="ＭＳ 明朝" w:cs="Arial" w:ascii="arial" w:hAnsi="arial"/>
          <w:b/>
          <w:bCs/>
          <w:i/>
          <w:iCs/>
          <w:color w:val="C9211E"/>
          <w:kern w:val="0"/>
          <w:sz w:val="20"/>
          <w:szCs w:val="20"/>
          <w:u w:val="single"/>
          <w:lang w:val="pt-BR" w:eastAsia="pt-BR" w:bidi="ar-SA"/>
        </w:rPr>
        <w:t>4</w:t>
      </w:r>
      <w:r>
        <w:rPr>
          <w:rFonts w:cs="Arial" w:ascii="arial" w:hAnsi="arial"/>
          <w:b/>
          <w:bCs/>
          <w:i/>
          <w:iCs/>
          <w:color w:val="C9211E"/>
          <w:sz w:val="20"/>
          <w:szCs w:val="20"/>
          <w:u w:val="single"/>
        </w:rPr>
        <w:t>.</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numPr>
          <w:ilvl w:val="0"/>
          <w:numId w:val="0"/>
        </w:numPr>
        <w:spacing w:lineRule="auto" w:line="312" w:before="120" w:after="288"/>
        <w:ind w:left="720" w:hanging="0"/>
        <w:rPr>
          <w:rFonts w:ascii="Arial" w:hAnsi="Arial" w:cs="Arial"/>
          <w:i/>
          <w:i/>
          <w:iCs/>
          <w:color w:val="FF0000"/>
          <w:sz w:val="20"/>
          <w:szCs w:val="20"/>
        </w:rPr>
      </w:pPr>
      <w:r>
        <w:rPr>
          <w:rFonts w:cs="Arial" w:ascii="Arial" w:hAnsi="Arial"/>
          <w:i/>
          <w:iCs/>
          <w:color w:val="FF0000"/>
          <w:sz w:val="20"/>
          <w:szCs w:val="20"/>
        </w:rPr>
        <w:t xml:space="preserve">2- </w:t>
      </w:r>
    </w:p>
    <w:sectPr>
      <w:headerReference w:type="default" r:id="rId10"/>
      <w:footerReference w:type="default" r:id="rId11"/>
      <w:type w:val="nextPage"/>
      <w:pgSz w:w="11906" w:h="16838"/>
      <w:pgMar w:left="1134" w:right="1134" w:header="709" w:top="1609"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75432551"/>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15" w:hanging="0"/>
      <w:rPr>
        <w:rFonts w:ascii="Arial" w:hAnsi="Arial" w:cs="Arial"/>
        <w:sz w:val="20"/>
        <w:szCs w:val="20"/>
      </w:rPr>
    </w:pPr>
    <w:r>
      <mc:AlternateContent>
        <mc:Choice Requires="wps">
          <w:drawing>
            <wp:anchor behindDoc="1" distT="45720" distB="45720" distL="114935" distR="114935" simplePos="0" locked="0" layoutInCell="1" allowOverlap="1" relativeHeight="11">
              <wp:simplePos x="0" y="0"/>
              <wp:positionH relativeFrom="column">
                <wp:posOffset>5222875</wp:posOffset>
              </wp:positionH>
              <wp:positionV relativeFrom="paragraph">
                <wp:posOffset>-173990</wp:posOffset>
              </wp:positionV>
              <wp:extent cx="1273810" cy="674370"/>
              <wp:effectExtent l="0" t="0" r="0" b="0"/>
              <wp:wrapSquare wrapText="bothSides"/>
              <wp:docPr id="2" name="Quadro2_0"/>
              <a:graphic xmlns:a="http://schemas.openxmlformats.org/drawingml/2006/main">
                <a:graphicData uri="http://schemas.microsoft.com/office/word/2010/wordprocessingShape">
                  <wps:wsp>
                    <wps:cNvSpPr/>
                    <wps:spPr>
                      <a:xfrm>
                        <a:off x="0" y="0"/>
                        <a:ext cx="1273320" cy="673560"/>
                      </a:xfrm>
                      <a:prstGeom prst="rect">
                        <a:avLst/>
                      </a:prstGeom>
                      <a:noFill/>
                      <a:ln w="9360">
                        <a:solidFill>
                          <a:srgbClr val="000000"/>
                        </a:solidFill>
                        <a:round/>
                      </a:ln>
                    </wps:spPr>
                    <wps:style>
                      <a:lnRef idx="0"/>
                      <a:fillRef idx="0"/>
                      <a:effectRef idx="0"/>
                      <a:fontRef idx="minor"/>
                    </wps:style>
                    <wps:txbx>
                      <w:txbxContent>
                        <w:p>
                          <w:pPr>
                            <w:pStyle w:val="Normal"/>
                            <w:spacing w:lineRule="auto" w:line="240" w:before="0" w:after="0"/>
                            <w:rPr>
                              <w:color w:val="000000"/>
                            </w:rPr>
                          </w:pPr>
                          <w:r>
                            <w:rPr>
                              <w:color w:val="000000"/>
                            </w:rPr>
                            <w:t>Fl nº _________</w:t>
                          </w:r>
                        </w:p>
                        <w:p>
                          <w:pPr>
                            <w:pStyle w:val="Normal"/>
                            <w:spacing w:lineRule="auto" w:line="240" w:before="0" w:after="0"/>
                            <w:jc w:val="center"/>
                            <w:rPr>
                              <w:color w:val="000000"/>
                            </w:rPr>
                          </w:pPr>
                          <w:r>
                            <w:rPr>
                              <w:color w:val="000000"/>
                            </w:rPr>
                            <w:t>_____________</w:t>
                          </w:r>
                        </w:p>
                        <w:p>
                          <w:pPr>
                            <w:pStyle w:val="Normal"/>
                            <w:spacing w:lineRule="auto" w:line="240" w:before="0" w:after="0"/>
                            <w:jc w:val="center"/>
                            <w:rPr>
                              <w:rFonts w:eastAsia="Calibri" w:cs="Calibri"/>
                              <w:color w:val="auto"/>
                              <w:sz w:val="22"/>
                              <w:szCs w:val="22"/>
                              <w:lang w:val="pt-BR" w:eastAsia="zh-CN" w:bidi="ar-SA"/>
                            </w:rPr>
                          </w:pPr>
                          <w:r>
                            <w:rPr>
                              <w:rFonts w:eastAsia="Calibri" w:cs="Calibri"/>
                              <w:color w:val="000000"/>
                              <w:sz w:val="22"/>
                              <w:szCs w:val="22"/>
                              <w:lang w:val="pt-BR" w:eastAsia="zh-CN" w:bidi="ar-SA"/>
                            </w:rPr>
                            <w:t>Rúbrica</w:t>
                          </w:r>
                        </w:p>
                        <w:p>
                          <w:pPr>
                            <w:pStyle w:val="Normal"/>
                            <w:spacing w:lineRule="auto" w:line="240" w:before="0" w:after="0"/>
                            <w:rPr>
                              <w:color w:val="000000"/>
                            </w:rPr>
                          </w:pPr>
                          <w:r>
                            <w:rPr>
                              <w:color w:val="000000"/>
                            </w:rPr>
                          </w:r>
                        </w:p>
                      </w:txbxContent>
                    </wps:txbx>
                    <wps:bodyPr>
                      <a:noAutofit/>
                    </wps:bodyPr>
                  </wps:wsp>
                </a:graphicData>
              </a:graphic>
            </wp:anchor>
          </w:drawing>
        </mc:Choice>
        <mc:Fallback>
          <w:pict>
            <v:rect id="shape_0" ID="Quadro2_0" stroked="t" style="position:absolute;margin-left:411.25pt;margin-top:-13.7pt;width:100.2pt;height:53pt">
              <w10:wrap type="square"/>
              <v:fill o:detectmouseclick="t" on="false"/>
              <v:stroke color="black" weight="9360" joinstyle="round" endcap="flat"/>
              <v:textbox>
                <w:txbxContent>
                  <w:p>
                    <w:pPr>
                      <w:pStyle w:val="Normal"/>
                      <w:spacing w:lineRule="auto" w:line="240" w:before="0" w:after="0"/>
                      <w:rPr>
                        <w:color w:val="000000"/>
                      </w:rPr>
                    </w:pPr>
                    <w:r>
                      <w:rPr>
                        <w:color w:val="000000"/>
                      </w:rPr>
                      <w:t>Fl nº _________</w:t>
                    </w:r>
                  </w:p>
                  <w:p>
                    <w:pPr>
                      <w:pStyle w:val="Normal"/>
                      <w:spacing w:lineRule="auto" w:line="240" w:before="0" w:after="0"/>
                      <w:jc w:val="center"/>
                      <w:rPr>
                        <w:color w:val="000000"/>
                      </w:rPr>
                    </w:pPr>
                    <w:r>
                      <w:rPr>
                        <w:color w:val="000000"/>
                      </w:rPr>
                      <w:t>_____________</w:t>
                    </w:r>
                  </w:p>
                  <w:p>
                    <w:pPr>
                      <w:pStyle w:val="Normal"/>
                      <w:spacing w:lineRule="auto" w:line="240" w:before="0" w:after="0"/>
                      <w:jc w:val="center"/>
                      <w:rPr>
                        <w:rFonts w:eastAsia="Calibri" w:cs="Calibri"/>
                        <w:color w:val="auto"/>
                        <w:sz w:val="22"/>
                        <w:szCs w:val="22"/>
                        <w:lang w:val="pt-BR" w:eastAsia="zh-CN" w:bidi="ar-SA"/>
                      </w:rPr>
                    </w:pPr>
                    <w:r>
                      <w:rPr>
                        <w:rFonts w:eastAsia="Calibri" w:cs="Calibri"/>
                        <w:color w:val="000000"/>
                        <w:sz w:val="22"/>
                        <w:szCs w:val="22"/>
                        <w:lang w:val="pt-BR" w:eastAsia="zh-CN" w:bidi="ar-SA"/>
                      </w:rPr>
                      <w:t>Rúbrica</w:t>
                    </w:r>
                  </w:p>
                  <w:p>
                    <w:pPr>
                      <w:pStyle w:val="Normal"/>
                      <w:spacing w:lineRule="auto" w:line="240" w:before="0" w:after="0"/>
                      <w:rPr>
                        <w:color w:val="000000"/>
                      </w:rPr>
                    </w:pPr>
                    <w:r>
                      <w:rPr>
                        <w:color w:val="000000"/>
                      </w:rPr>
                    </w:r>
                  </w:p>
                </w:txbxContent>
              </v:textbox>
            </v:rect>
          </w:pict>
        </mc:Fallback>
      </mc:AlternateContent>
    </w: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6"/>
    <w:lvlOverride w:ilvl="0">
      <w:startOverride w:val="1"/>
    </w:lvlOverride>
  </w:num>
  <w:num w:numId="116">
    <w:abstractNumId w:val="6"/>
    <w:lvlOverride w:ilvl="1">
      <w:startOverride w:val="1"/>
    </w:lvlOverride>
  </w:num>
  <w:num w:numId="117">
    <w:abstractNumId w:val="6"/>
  </w:num>
  <w:num w:numId="118">
    <w:abstractNumId w:val="6"/>
  </w:num>
  <w:num w:numId="11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2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3">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4">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5">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6">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7">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8">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9">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0">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1">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2">
    <w:abstractNumId w:val="6"/>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1958d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Legenda1">
    <w:name w:val="Legenda1"/>
    <w:basedOn w:val="Normal"/>
    <w:qFormat/>
    <w:pPr>
      <w:suppressLineNumbers/>
      <w:spacing w:before="120" w:after="120"/>
    </w:pPr>
    <w:rPr>
      <w:rFonts w:cs="Mangal"/>
      <w:i/>
      <w:iCs/>
      <w:sz w:val="24"/>
    </w:rPr>
  </w:style>
  <w:style w:type="paragraph" w:styleId="Contedodoquadro">
    <w:name w:val="Conteúdo do quadro"/>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1-2014/2013/lei/l12846.htm" TargetMode="External"/><Relationship Id="rId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leis/l8078compilado.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100</TotalTime>
  <Application>LibreOffice/6.4.7.2$Linux_X86_64 LibreOffice_project/40$Build-2</Application>
  <Pages>9</Pages>
  <Words>3639</Words>
  <Characters>20596</Characters>
  <CharactersWithSpaces>23977</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2024-07-01T14:57:26Z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